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BD" w:rsidRDefault="00EB76BD" w:rsidP="00367836">
      <w:pPr>
        <w:snapToGrid w:val="0"/>
        <w:spacing w:line="360" w:lineRule="auto"/>
        <w:jc w:val="center"/>
        <w:rPr>
          <w:rFonts w:ascii="Times New Roman" w:eastAsia="標楷體" w:hAnsi="Times New Roman" w:cs="Times New Roman"/>
          <w:b/>
          <w:szCs w:val="24"/>
        </w:rPr>
      </w:pPr>
      <w:r w:rsidRPr="00BF5F15">
        <w:rPr>
          <w:rFonts w:ascii="Times New Roman" w:eastAsia="標楷體" w:hAnsi="Times New Roman" w:cs="Times New Roman"/>
          <w:b/>
          <w:szCs w:val="24"/>
        </w:rPr>
        <w:t>銘傳大學時尚</w:t>
      </w:r>
      <w:r w:rsidR="00EC5FEC">
        <w:rPr>
          <w:rFonts w:ascii="Times New Roman" w:eastAsia="標楷體" w:hAnsi="Times New Roman" w:cs="Times New Roman" w:hint="eastAsia"/>
          <w:b/>
          <w:szCs w:val="24"/>
        </w:rPr>
        <w:t>與</w:t>
      </w:r>
      <w:r w:rsidRPr="00BF5F15">
        <w:rPr>
          <w:rFonts w:ascii="Times New Roman" w:eastAsia="標楷體" w:hAnsi="Times New Roman" w:cs="Times New Roman"/>
          <w:b/>
          <w:szCs w:val="24"/>
        </w:rPr>
        <w:t>創</w:t>
      </w:r>
      <w:r w:rsidR="00EC5FEC">
        <w:rPr>
          <w:rFonts w:ascii="Times New Roman" w:eastAsia="標楷體" w:hAnsi="Times New Roman" w:cs="Times New Roman" w:hint="eastAsia"/>
          <w:b/>
          <w:szCs w:val="24"/>
        </w:rPr>
        <w:t>新</w:t>
      </w:r>
      <w:r w:rsidRPr="00BF5F15">
        <w:rPr>
          <w:rFonts w:ascii="Times New Roman" w:eastAsia="標楷體" w:hAnsi="Times New Roman" w:cs="Times New Roman"/>
          <w:b/>
          <w:szCs w:val="24"/>
        </w:rPr>
        <w:t>管理學程專業基本能力檢定實施細則</w:t>
      </w:r>
    </w:p>
    <w:p w:rsidR="00DA5A23" w:rsidRPr="00BF5F15" w:rsidRDefault="00DA5A23" w:rsidP="00367836">
      <w:pPr>
        <w:snapToGrid w:val="0"/>
        <w:spacing w:line="360" w:lineRule="auto"/>
        <w:jc w:val="center"/>
        <w:rPr>
          <w:rFonts w:ascii="Times New Roman" w:eastAsia="標楷體" w:hAnsi="Times New Roman" w:cs="Times New Roman" w:hint="eastAsia"/>
          <w:b/>
          <w:szCs w:val="24"/>
        </w:rPr>
      </w:pPr>
      <w:r w:rsidRPr="00DA5A23">
        <w:rPr>
          <w:rFonts w:ascii="Times New Roman" w:eastAsia="標楷體" w:hAnsi="Times New Roman" w:cs="Times New Roman"/>
          <w:b/>
          <w:szCs w:val="24"/>
        </w:rPr>
        <w:t>Ming Chuan University Enforcement Rules for Program in Fashion and Innovation Management Fundamental Professional Competencies Requirements</w:t>
      </w:r>
      <w:bookmarkStart w:id="0" w:name="_GoBack"/>
      <w:bookmarkEnd w:id="0"/>
    </w:p>
    <w:p w:rsidR="00562F19" w:rsidRPr="00216948" w:rsidRDefault="00562F19" w:rsidP="00562F19">
      <w:pPr>
        <w:snapToGrid w:val="0"/>
        <w:jc w:val="right"/>
        <w:rPr>
          <w:rFonts w:ascii="標楷體" w:eastAsia="標楷體" w:hAnsi="標楷體" w:cs="Times New Roman"/>
          <w:sz w:val="20"/>
          <w:szCs w:val="20"/>
        </w:rPr>
      </w:pPr>
      <w:r w:rsidRPr="00216948">
        <w:rPr>
          <w:rFonts w:ascii="標楷體" w:eastAsia="標楷體" w:hAnsi="標楷體" w:cs="Times New Roman" w:hint="eastAsia"/>
          <w:sz w:val="20"/>
          <w:szCs w:val="20"/>
        </w:rPr>
        <w:t>中華民國</w:t>
      </w:r>
      <w:r w:rsidRPr="00216948">
        <w:rPr>
          <w:rFonts w:ascii="Times New Roman" w:eastAsia="標楷體" w:hAnsi="Times New Roman" w:cs="Times New Roman"/>
          <w:sz w:val="20"/>
          <w:szCs w:val="20"/>
        </w:rPr>
        <w:t>105</w:t>
      </w:r>
      <w:r w:rsidRPr="00216948">
        <w:rPr>
          <w:rFonts w:ascii="標楷體" w:eastAsia="標楷體" w:hAnsi="標楷體" w:cs="Times New Roman"/>
          <w:sz w:val="20"/>
          <w:szCs w:val="20"/>
        </w:rPr>
        <w:t>年</w:t>
      </w:r>
      <w:r w:rsidRPr="00216948">
        <w:rPr>
          <w:rFonts w:ascii="Times New Roman" w:eastAsia="標楷體" w:hAnsi="Times New Roman" w:cs="Times New Roman"/>
          <w:sz w:val="20"/>
          <w:szCs w:val="20"/>
        </w:rPr>
        <w:t>10</w:t>
      </w:r>
      <w:r w:rsidRPr="00216948">
        <w:rPr>
          <w:rFonts w:ascii="標楷體" w:eastAsia="標楷體" w:hAnsi="標楷體" w:cs="Times New Roman"/>
          <w:sz w:val="20"/>
          <w:szCs w:val="20"/>
        </w:rPr>
        <w:t>月</w:t>
      </w:r>
      <w:r w:rsidRPr="00216948">
        <w:rPr>
          <w:rFonts w:ascii="Times New Roman" w:eastAsia="標楷體" w:hAnsi="Times New Roman" w:cs="Times New Roman"/>
          <w:sz w:val="20"/>
          <w:szCs w:val="20"/>
        </w:rPr>
        <w:t>14</w:t>
      </w:r>
      <w:r w:rsidRPr="00216948">
        <w:rPr>
          <w:rFonts w:ascii="標楷體" w:eastAsia="標楷體" w:hAnsi="標楷體" w:cs="Times New Roman"/>
          <w:sz w:val="20"/>
          <w:szCs w:val="20"/>
        </w:rPr>
        <w:t>日系務會議</w:t>
      </w:r>
      <w:r w:rsidRPr="00216948">
        <w:rPr>
          <w:rFonts w:ascii="標楷體" w:eastAsia="標楷體" w:hAnsi="標楷體" w:cs="Times New Roman" w:hint="eastAsia"/>
          <w:sz w:val="20"/>
          <w:szCs w:val="20"/>
        </w:rPr>
        <w:t>通過</w:t>
      </w:r>
    </w:p>
    <w:p w:rsidR="00562F19" w:rsidRPr="00216948" w:rsidRDefault="00562F19" w:rsidP="00562F19">
      <w:pPr>
        <w:snapToGrid w:val="0"/>
        <w:jc w:val="right"/>
        <w:rPr>
          <w:rFonts w:ascii="標楷體" w:eastAsia="標楷體" w:hAnsi="標楷體" w:cs="Times New Roman"/>
          <w:sz w:val="20"/>
          <w:szCs w:val="20"/>
        </w:rPr>
      </w:pPr>
      <w:r w:rsidRPr="00216948">
        <w:rPr>
          <w:rFonts w:ascii="標楷體" w:eastAsia="標楷體" w:hAnsi="標楷體" w:cs="Times New Roman" w:hint="eastAsia"/>
          <w:sz w:val="20"/>
          <w:szCs w:val="20"/>
        </w:rPr>
        <w:t>中華民國</w:t>
      </w:r>
      <w:r w:rsidRPr="00216948">
        <w:rPr>
          <w:rFonts w:ascii="Times New Roman" w:eastAsia="標楷體" w:hAnsi="Times New Roman" w:cs="Times New Roman"/>
          <w:sz w:val="20"/>
          <w:szCs w:val="20"/>
        </w:rPr>
        <w:t>105</w:t>
      </w:r>
      <w:r w:rsidRPr="00216948">
        <w:rPr>
          <w:rFonts w:ascii="標楷體" w:eastAsia="標楷體" w:hAnsi="標楷體" w:cs="Times New Roman"/>
          <w:sz w:val="20"/>
          <w:szCs w:val="20"/>
        </w:rPr>
        <w:t>年</w:t>
      </w:r>
      <w:r w:rsidRPr="00216948">
        <w:rPr>
          <w:rFonts w:ascii="Times New Roman" w:eastAsia="標楷體" w:hAnsi="Times New Roman" w:cs="Times New Roman"/>
          <w:sz w:val="20"/>
          <w:szCs w:val="20"/>
        </w:rPr>
        <w:t>10</w:t>
      </w:r>
      <w:r w:rsidRPr="00216948">
        <w:rPr>
          <w:rFonts w:ascii="標楷體" w:eastAsia="標楷體" w:hAnsi="標楷體" w:cs="Times New Roman"/>
          <w:sz w:val="20"/>
          <w:szCs w:val="20"/>
        </w:rPr>
        <w:t>月</w:t>
      </w:r>
      <w:r w:rsidRPr="00216948">
        <w:rPr>
          <w:rFonts w:ascii="Times New Roman" w:eastAsia="標楷體" w:hAnsi="Times New Roman" w:cs="Times New Roman"/>
          <w:sz w:val="20"/>
          <w:szCs w:val="20"/>
        </w:rPr>
        <w:t>28</w:t>
      </w:r>
      <w:r w:rsidRPr="00216948">
        <w:rPr>
          <w:rFonts w:ascii="標楷體" w:eastAsia="標楷體" w:hAnsi="標楷體" w:cs="Times New Roman"/>
          <w:sz w:val="20"/>
          <w:szCs w:val="20"/>
        </w:rPr>
        <w:t>日院</w:t>
      </w:r>
      <w:r w:rsidRPr="00216948">
        <w:rPr>
          <w:rFonts w:ascii="標楷體" w:eastAsia="標楷體" w:hAnsi="標楷體" w:cs="Times New Roman" w:hint="eastAsia"/>
          <w:sz w:val="20"/>
          <w:szCs w:val="20"/>
        </w:rPr>
        <w:t>務</w:t>
      </w:r>
      <w:r w:rsidRPr="00216948">
        <w:rPr>
          <w:rFonts w:ascii="標楷體" w:eastAsia="標楷體" w:hAnsi="標楷體" w:cs="Times New Roman"/>
          <w:sz w:val="20"/>
          <w:szCs w:val="20"/>
        </w:rPr>
        <w:t>會議通過</w:t>
      </w:r>
    </w:p>
    <w:p w:rsidR="00562F19" w:rsidRPr="00216948"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sz w:val="20"/>
          <w:szCs w:val="20"/>
        </w:rPr>
        <w:t>中華民國</w:t>
      </w:r>
      <w:r w:rsidRPr="00216948">
        <w:rPr>
          <w:rFonts w:ascii="Times New Roman" w:eastAsia="標楷體" w:hAnsi="Times New Roman" w:cs="Times New Roman"/>
          <w:sz w:val="20"/>
          <w:szCs w:val="20"/>
        </w:rPr>
        <w:t>105</w:t>
      </w:r>
      <w:r w:rsidRPr="00216948">
        <w:rPr>
          <w:rFonts w:ascii="Times New Roman" w:eastAsia="標楷體" w:hAnsi="Times New Roman" w:cs="Times New Roman"/>
          <w:sz w:val="20"/>
          <w:szCs w:val="20"/>
        </w:rPr>
        <w:t>年</w:t>
      </w:r>
      <w:r w:rsidRPr="00216948">
        <w:rPr>
          <w:rFonts w:ascii="Times New Roman" w:eastAsia="標楷體" w:hAnsi="Times New Roman" w:cs="Times New Roman" w:hint="eastAsia"/>
          <w:sz w:val="20"/>
          <w:szCs w:val="20"/>
        </w:rPr>
        <w:t>1</w:t>
      </w:r>
      <w:r w:rsidRPr="00216948">
        <w:rPr>
          <w:rFonts w:ascii="Times New Roman" w:eastAsia="標楷體" w:hAnsi="Times New Roman" w:cs="Times New Roman"/>
          <w:sz w:val="20"/>
          <w:szCs w:val="20"/>
        </w:rPr>
        <w:t>1</w:t>
      </w:r>
      <w:r w:rsidRPr="00216948">
        <w:rPr>
          <w:rFonts w:ascii="Times New Roman" w:eastAsia="標楷體" w:hAnsi="Times New Roman" w:cs="Times New Roman"/>
          <w:sz w:val="20"/>
          <w:szCs w:val="20"/>
        </w:rPr>
        <w:t>月</w:t>
      </w:r>
      <w:r w:rsidRPr="00216948">
        <w:rPr>
          <w:rFonts w:ascii="Times New Roman" w:eastAsia="標楷體" w:hAnsi="Times New Roman" w:cs="Times New Roman" w:hint="eastAsia"/>
          <w:sz w:val="20"/>
          <w:szCs w:val="20"/>
        </w:rPr>
        <w:t>24</w:t>
      </w:r>
      <w:r w:rsidRPr="00216948">
        <w:rPr>
          <w:rFonts w:ascii="Times New Roman" w:eastAsia="標楷體" w:hAnsi="Times New Roman" w:cs="Times New Roman"/>
          <w:sz w:val="20"/>
          <w:szCs w:val="20"/>
        </w:rPr>
        <w:t>日教務會議通過</w:t>
      </w:r>
    </w:p>
    <w:p w:rsidR="00562F19" w:rsidRPr="00216948"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106</w:t>
      </w:r>
      <w:r w:rsidRPr="00216948">
        <w:rPr>
          <w:rFonts w:ascii="Times New Roman" w:eastAsia="標楷體" w:hAnsi="Times New Roman" w:cs="Times New Roman" w:hint="eastAsia"/>
          <w:sz w:val="20"/>
          <w:szCs w:val="20"/>
        </w:rPr>
        <w:t>年</w:t>
      </w:r>
      <w:r w:rsidRPr="00216948">
        <w:rPr>
          <w:rFonts w:ascii="Times New Roman" w:eastAsia="標楷體" w:hAnsi="Times New Roman" w:cs="Times New Roman"/>
          <w:sz w:val="20"/>
          <w:szCs w:val="20"/>
        </w:rPr>
        <w:t>10</w:t>
      </w:r>
      <w:r w:rsidRPr="00216948">
        <w:rPr>
          <w:rFonts w:ascii="Times New Roman" w:eastAsia="標楷體" w:hAnsi="Times New Roman" w:cs="Times New Roman" w:hint="eastAsia"/>
          <w:sz w:val="20"/>
          <w:szCs w:val="20"/>
        </w:rPr>
        <w:t>月</w:t>
      </w:r>
      <w:r w:rsidRPr="00216948">
        <w:rPr>
          <w:rFonts w:ascii="Times New Roman" w:eastAsia="標楷體" w:hAnsi="Times New Roman" w:cs="Times New Roman" w:hint="eastAsia"/>
          <w:sz w:val="20"/>
          <w:szCs w:val="20"/>
        </w:rPr>
        <w:t>11</w:t>
      </w:r>
      <w:r w:rsidRPr="00216948">
        <w:rPr>
          <w:rFonts w:ascii="Times New Roman" w:eastAsia="標楷體" w:hAnsi="Times New Roman" w:cs="Times New Roman" w:hint="eastAsia"/>
          <w:sz w:val="20"/>
          <w:szCs w:val="20"/>
        </w:rPr>
        <w:t>日系務會議通過</w:t>
      </w:r>
    </w:p>
    <w:p w:rsidR="00562F19" w:rsidRPr="00216948"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6</w:t>
      </w:r>
      <w:r w:rsidRPr="00216948">
        <w:rPr>
          <w:rFonts w:ascii="Times New Roman" w:eastAsia="標楷體" w:hAnsi="Times New Roman" w:cs="Times New Roman" w:hint="eastAsia"/>
          <w:sz w:val="20"/>
          <w:szCs w:val="20"/>
        </w:rPr>
        <w:t>年</w:t>
      </w:r>
      <w:r w:rsidRPr="00216948">
        <w:rPr>
          <w:rFonts w:ascii="Times New Roman" w:eastAsia="標楷體" w:hAnsi="Times New Roman" w:cs="Times New Roman"/>
          <w:sz w:val="20"/>
          <w:szCs w:val="20"/>
        </w:rPr>
        <w:t>11</w:t>
      </w:r>
      <w:r w:rsidRPr="00216948">
        <w:rPr>
          <w:rFonts w:ascii="Times New Roman" w:eastAsia="標楷體" w:hAnsi="Times New Roman" w:cs="Times New Roman" w:hint="eastAsia"/>
          <w:sz w:val="20"/>
          <w:szCs w:val="20"/>
        </w:rPr>
        <w:t>月</w:t>
      </w:r>
      <w:r w:rsidRPr="00216948">
        <w:rPr>
          <w:rFonts w:ascii="Times New Roman" w:eastAsia="標楷體" w:hAnsi="Times New Roman" w:cs="Times New Roman"/>
          <w:sz w:val="20"/>
          <w:szCs w:val="20"/>
        </w:rPr>
        <w:t>6</w:t>
      </w:r>
      <w:r w:rsidRPr="00216948">
        <w:rPr>
          <w:rFonts w:ascii="Times New Roman" w:eastAsia="標楷體" w:hAnsi="Times New Roman" w:cs="Times New Roman" w:hint="eastAsia"/>
          <w:sz w:val="20"/>
          <w:szCs w:val="20"/>
        </w:rPr>
        <w:t>日院務會議通過</w:t>
      </w:r>
    </w:p>
    <w:p w:rsidR="00562F19" w:rsidRPr="00216948"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6</w:t>
      </w:r>
      <w:r w:rsidRPr="00216948">
        <w:rPr>
          <w:rFonts w:ascii="Times New Roman" w:eastAsia="標楷體" w:hAnsi="Times New Roman" w:cs="Times New Roman" w:hint="eastAsia"/>
          <w:sz w:val="20"/>
          <w:szCs w:val="20"/>
        </w:rPr>
        <w:t>年</w:t>
      </w:r>
      <w:r w:rsidRPr="00216948">
        <w:rPr>
          <w:rFonts w:ascii="Times New Roman" w:eastAsia="標楷體" w:hAnsi="Times New Roman" w:cs="Times New Roman" w:hint="eastAsia"/>
          <w:sz w:val="20"/>
          <w:szCs w:val="20"/>
        </w:rPr>
        <w:t>11</w:t>
      </w:r>
      <w:r w:rsidRPr="00216948">
        <w:rPr>
          <w:rFonts w:ascii="Times New Roman" w:eastAsia="標楷體" w:hAnsi="Times New Roman" w:cs="Times New Roman" w:hint="eastAsia"/>
          <w:sz w:val="20"/>
          <w:szCs w:val="20"/>
        </w:rPr>
        <w:t>月</w:t>
      </w:r>
      <w:r w:rsidRPr="00216948">
        <w:rPr>
          <w:rFonts w:ascii="Times New Roman" w:eastAsia="標楷體" w:hAnsi="Times New Roman" w:cs="Times New Roman"/>
          <w:sz w:val="20"/>
          <w:szCs w:val="20"/>
        </w:rPr>
        <w:t>6</w:t>
      </w:r>
      <w:r w:rsidRPr="00216948">
        <w:rPr>
          <w:rFonts w:ascii="Times New Roman" w:eastAsia="標楷體" w:hAnsi="Times New Roman" w:cs="Times New Roman" w:hint="eastAsia"/>
          <w:sz w:val="20"/>
          <w:szCs w:val="20"/>
        </w:rPr>
        <w:t>日教務會議通過</w:t>
      </w:r>
    </w:p>
    <w:p w:rsidR="00562F19"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w:t>
      </w:r>
      <w:r w:rsidRPr="00216948">
        <w:rPr>
          <w:rFonts w:ascii="Times New Roman" w:eastAsia="標楷體" w:hAnsi="Times New Roman" w:cs="Times New Roman"/>
          <w:sz w:val="20"/>
          <w:szCs w:val="20"/>
        </w:rPr>
        <w:t>7</w:t>
      </w:r>
      <w:r w:rsidRPr="00216948">
        <w:rPr>
          <w:rFonts w:ascii="Times New Roman" w:eastAsia="標楷體" w:hAnsi="Times New Roman" w:cs="Times New Roman" w:hint="eastAsia"/>
          <w:sz w:val="20"/>
          <w:szCs w:val="20"/>
        </w:rPr>
        <w:t>年</w:t>
      </w:r>
      <w:r w:rsidRPr="00216948">
        <w:rPr>
          <w:rFonts w:ascii="Times New Roman" w:eastAsia="標楷體" w:hAnsi="Times New Roman" w:cs="Times New Roman"/>
          <w:sz w:val="20"/>
          <w:szCs w:val="20"/>
        </w:rPr>
        <w:t>4</w:t>
      </w:r>
      <w:r w:rsidRPr="00216948">
        <w:rPr>
          <w:rFonts w:ascii="Times New Roman" w:eastAsia="標楷體" w:hAnsi="Times New Roman" w:cs="Times New Roman" w:hint="eastAsia"/>
          <w:sz w:val="20"/>
          <w:szCs w:val="20"/>
        </w:rPr>
        <w:t>月</w:t>
      </w:r>
      <w:r w:rsidRPr="00216948">
        <w:rPr>
          <w:rFonts w:ascii="Times New Roman" w:eastAsia="標楷體" w:hAnsi="Times New Roman" w:cs="Times New Roman"/>
          <w:sz w:val="20"/>
          <w:szCs w:val="20"/>
        </w:rPr>
        <w:t>25</w:t>
      </w:r>
      <w:r w:rsidRPr="00216948">
        <w:rPr>
          <w:rFonts w:ascii="Times New Roman" w:eastAsia="標楷體" w:hAnsi="Times New Roman" w:cs="Times New Roman" w:hint="eastAsia"/>
          <w:sz w:val="20"/>
          <w:szCs w:val="20"/>
        </w:rPr>
        <w:t>日系務會議通過</w:t>
      </w:r>
    </w:p>
    <w:p w:rsidR="00562F19" w:rsidRPr="00216948" w:rsidRDefault="00562F19"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Pr>
          <w:rFonts w:ascii="Times New Roman" w:eastAsia="標楷體" w:hAnsi="Times New Roman" w:cs="Times New Roman" w:hint="eastAsia"/>
          <w:sz w:val="20"/>
          <w:szCs w:val="20"/>
        </w:rPr>
        <w:t>107</w:t>
      </w:r>
      <w:r w:rsidRPr="00216948">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4</w:t>
      </w:r>
      <w:r w:rsidRPr="00216948">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30</w:t>
      </w:r>
      <w:r w:rsidRPr="00216948">
        <w:rPr>
          <w:rFonts w:ascii="Times New Roman" w:eastAsia="標楷體" w:hAnsi="Times New Roman" w:cs="Times New Roman" w:hint="eastAsia"/>
          <w:sz w:val="20"/>
          <w:szCs w:val="20"/>
        </w:rPr>
        <w:t>日院務會議通過</w:t>
      </w:r>
    </w:p>
    <w:p w:rsidR="000C206D" w:rsidRPr="00216948" w:rsidRDefault="00562F19" w:rsidP="000C206D">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7</w:t>
      </w:r>
      <w:r w:rsidRPr="00216948">
        <w:rPr>
          <w:rFonts w:ascii="Times New Roman" w:eastAsia="標楷體" w:hAnsi="Times New Roman" w:cs="Times New Roman" w:hint="eastAsia"/>
          <w:sz w:val="20"/>
          <w:szCs w:val="20"/>
        </w:rPr>
        <w:t>年</w:t>
      </w:r>
      <w:r w:rsidR="000C206D">
        <w:rPr>
          <w:rFonts w:ascii="Times New Roman" w:eastAsia="標楷體" w:hAnsi="Times New Roman" w:cs="Times New Roman" w:hint="eastAsia"/>
          <w:sz w:val="20"/>
          <w:szCs w:val="20"/>
        </w:rPr>
        <w:t>6</w:t>
      </w:r>
      <w:r w:rsidRPr="00216948">
        <w:rPr>
          <w:rFonts w:ascii="Times New Roman" w:eastAsia="標楷體" w:hAnsi="Times New Roman" w:cs="Times New Roman" w:hint="eastAsia"/>
          <w:sz w:val="20"/>
          <w:szCs w:val="20"/>
        </w:rPr>
        <w:t>月</w:t>
      </w:r>
      <w:r w:rsidR="000C206D">
        <w:rPr>
          <w:rFonts w:ascii="Times New Roman" w:eastAsia="標楷體" w:hAnsi="Times New Roman" w:cs="Times New Roman" w:hint="eastAsia"/>
          <w:sz w:val="20"/>
          <w:szCs w:val="20"/>
        </w:rPr>
        <w:t>10</w:t>
      </w:r>
      <w:r w:rsidRPr="00216948">
        <w:rPr>
          <w:rFonts w:ascii="Times New Roman" w:eastAsia="標楷體" w:hAnsi="Times New Roman" w:cs="Times New Roman" w:hint="eastAsia"/>
          <w:sz w:val="20"/>
          <w:szCs w:val="20"/>
        </w:rPr>
        <w:t>日教務會議通過</w:t>
      </w:r>
    </w:p>
    <w:p w:rsidR="00562F19" w:rsidRPr="00562F19" w:rsidRDefault="000C206D" w:rsidP="00562F19">
      <w:pPr>
        <w:snapToGrid w:val="0"/>
        <w:jc w:val="right"/>
        <w:rPr>
          <w:rFonts w:ascii="Times New Roman" w:eastAsia="標楷體" w:hAnsi="Times New Roman" w:cs="Times New Roman"/>
          <w:sz w:val="20"/>
          <w:szCs w:val="20"/>
        </w:rPr>
      </w:pPr>
      <w:r w:rsidRPr="00216948">
        <w:rPr>
          <w:rFonts w:ascii="Times New Roman" w:eastAsia="標楷體" w:hAnsi="Times New Roman" w:cs="Times New Roman" w:hint="eastAsia"/>
          <w:sz w:val="20"/>
          <w:szCs w:val="20"/>
        </w:rPr>
        <w:t>中華民國</w:t>
      </w:r>
      <w:r w:rsidRPr="00216948">
        <w:rPr>
          <w:rFonts w:ascii="Times New Roman" w:eastAsia="標楷體" w:hAnsi="Times New Roman" w:cs="Times New Roman" w:hint="eastAsia"/>
          <w:sz w:val="20"/>
          <w:szCs w:val="20"/>
        </w:rPr>
        <w:t>10</w:t>
      </w:r>
      <w:r>
        <w:rPr>
          <w:rFonts w:ascii="Times New Roman" w:eastAsia="標楷體" w:hAnsi="Times New Roman" w:cs="Times New Roman" w:hint="eastAsia"/>
          <w:sz w:val="20"/>
          <w:szCs w:val="20"/>
        </w:rPr>
        <w:t>8</w:t>
      </w:r>
      <w:r w:rsidRPr="00216948">
        <w:rPr>
          <w:rFonts w:ascii="Times New Roman" w:eastAsia="標楷體" w:hAnsi="Times New Roman" w:cs="Times New Roman" w:hint="eastAsia"/>
          <w:sz w:val="20"/>
          <w:szCs w:val="20"/>
        </w:rPr>
        <w:t>年</w:t>
      </w:r>
      <w:r>
        <w:rPr>
          <w:rFonts w:ascii="Times New Roman" w:eastAsia="標楷體" w:hAnsi="Times New Roman" w:cs="Times New Roman" w:hint="eastAsia"/>
          <w:sz w:val="20"/>
          <w:szCs w:val="20"/>
        </w:rPr>
        <w:t>3</w:t>
      </w:r>
      <w:r w:rsidRPr="00216948">
        <w:rPr>
          <w:rFonts w:ascii="Times New Roman" w:eastAsia="標楷體" w:hAnsi="Times New Roman" w:cs="Times New Roman" w:hint="eastAsia"/>
          <w:sz w:val="20"/>
          <w:szCs w:val="20"/>
        </w:rPr>
        <w:t>月</w:t>
      </w:r>
      <w:r>
        <w:rPr>
          <w:rFonts w:ascii="Times New Roman" w:eastAsia="標楷體" w:hAnsi="Times New Roman" w:cs="Times New Roman" w:hint="eastAsia"/>
          <w:sz w:val="20"/>
          <w:szCs w:val="20"/>
        </w:rPr>
        <w:t>18</w:t>
      </w:r>
      <w:r w:rsidRPr="00216948">
        <w:rPr>
          <w:rFonts w:ascii="Times New Roman" w:eastAsia="標楷體" w:hAnsi="Times New Roman" w:cs="Times New Roman" w:hint="eastAsia"/>
          <w:sz w:val="20"/>
          <w:szCs w:val="20"/>
        </w:rPr>
        <w:t>日系務會議通過</w:t>
      </w:r>
    </w:p>
    <w:p w:rsidR="00EB76BD" w:rsidRPr="00562F19" w:rsidRDefault="00EB76BD" w:rsidP="00367836">
      <w:pPr>
        <w:snapToGrid w:val="0"/>
        <w:spacing w:line="360" w:lineRule="auto"/>
        <w:jc w:val="center"/>
        <w:rPr>
          <w:rFonts w:ascii="Times New Roman" w:eastAsia="標楷體" w:hAnsi="Times New Roman" w:cs="Times New Roman"/>
          <w:b/>
          <w:sz w:val="20"/>
        </w:rPr>
      </w:pPr>
    </w:p>
    <w:p w:rsidR="004840FA" w:rsidRDefault="00EB76BD" w:rsidP="00367836">
      <w:pPr>
        <w:numPr>
          <w:ilvl w:val="0"/>
          <w:numId w:val="1"/>
        </w:numPr>
        <w:snapToGrid w:val="0"/>
        <w:spacing w:line="360" w:lineRule="auto"/>
        <w:jc w:val="both"/>
        <w:rPr>
          <w:rFonts w:ascii="標楷體" w:eastAsia="標楷體" w:hAnsi="標楷體" w:cs="Times New Roman"/>
          <w:szCs w:val="24"/>
        </w:rPr>
      </w:pPr>
      <w:r w:rsidRPr="004840FA">
        <w:rPr>
          <w:rFonts w:ascii="標楷體" w:eastAsia="標楷體" w:hAnsi="標楷體" w:cs="Times New Roman"/>
          <w:szCs w:val="24"/>
        </w:rPr>
        <w:t>本學程為提昇學生升學暨就業競爭力，依據「銘傳大學學生畢業資格檢定實施辦法」訂定「銘傳大學時尚</w:t>
      </w:r>
      <w:r w:rsidR="00EC5FEC">
        <w:rPr>
          <w:rFonts w:ascii="標楷體" w:eastAsia="標楷體" w:hAnsi="標楷體" w:cs="Times New Roman" w:hint="eastAsia"/>
          <w:szCs w:val="24"/>
        </w:rPr>
        <w:t>與</w:t>
      </w:r>
      <w:r w:rsidR="00EC5FEC">
        <w:rPr>
          <w:rFonts w:ascii="標楷體" w:eastAsia="標楷體" w:hAnsi="標楷體" w:cs="Times New Roman"/>
          <w:szCs w:val="24"/>
        </w:rPr>
        <w:t>創</w:t>
      </w:r>
      <w:r w:rsidR="00EC5FEC">
        <w:rPr>
          <w:rFonts w:ascii="標楷體" w:eastAsia="標楷體" w:hAnsi="標楷體" w:cs="Times New Roman" w:hint="eastAsia"/>
          <w:szCs w:val="24"/>
        </w:rPr>
        <w:t>新</w:t>
      </w:r>
      <w:r w:rsidRPr="004840FA">
        <w:rPr>
          <w:rFonts w:ascii="標楷體" w:eastAsia="標楷體" w:hAnsi="標楷體" w:cs="Times New Roman"/>
          <w:szCs w:val="24"/>
        </w:rPr>
        <w:t>管理學程專業基本能力檢定實施細則」（以下簡稱本細則）</w:t>
      </w:r>
    </w:p>
    <w:p w:rsidR="004840FA" w:rsidRPr="00DA5A23" w:rsidRDefault="00DA5A23" w:rsidP="004840FA">
      <w:pPr>
        <w:snapToGrid w:val="0"/>
        <w:spacing w:line="360" w:lineRule="auto"/>
        <w:ind w:left="480"/>
        <w:jc w:val="both"/>
        <w:rPr>
          <w:rFonts w:ascii="Times New Roman" w:eastAsia="標楷體" w:hAnsi="Times New Roman" w:cs="Times New Roman"/>
          <w:szCs w:val="24"/>
        </w:rPr>
      </w:pPr>
      <w:r w:rsidRPr="00DA5A23">
        <w:rPr>
          <w:rFonts w:ascii="Times New Roman" w:eastAsia="標楷體" w:hAnsi="Times New Roman" w:cs="Times New Roman"/>
          <w:szCs w:val="24"/>
        </w:rPr>
        <w:t>In accordance with Ming Chuan University Procedures for Proficiency-based Graduation Requirements, Ming Chuan University Enforcement Rules for Program in Fashion and Innovation Management Fundamental Professional Competencies Requirements (herewith called the enforcement rules) were established to increase students’ competitiveness for their future careers and higher education.</w:t>
      </w:r>
    </w:p>
    <w:p w:rsidR="00052301" w:rsidRPr="004840FA" w:rsidRDefault="00EB76BD" w:rsidP="004840FA">
      <w:pPr>
        <w:numPr>
          <w:ilvl w:val="0"/>
          <w:numId w:val="1"/>
        </w:numPr>
        <w:snapToGrid w:val="0"/>
        <w:spacing w:line="360" w:lineRule="auto"/>
        <w:jc w:val="both"/>
        <w:rPr>
          <w:rFonts w:ascii="標楷體" w:eastAsia="標楷體" w:hAnsi="標楷體" w:cs="Times New Roman"/>
          <w:szCs w:val="24"/>
        </w:rPr>
      </w:pPr>
      <w:r w:rsidRPr="004840FA">
        <w:rPr>
          <w:rFonts w:ascii="標楷體" w:eastAsia="標楷體" w:hAnsi="標楷體" w:cs="Times New Roman"/>
          <w:szCs w:val="24"/>
        </w:rPr>
        <w:t>本學程之大學部學生，應通過本校所訂之「服務學習」、「英語能力」、「資訊能力」、「中文能力」及「運動能力」畢業資格檢定標準，及本學程依本細則所定「基本能力」之檢定標準，始得畢業。</w:t>
      </w:r>
      <w:r w:rsidR="00052301" w:rsidRPr="004840FA">
        <w:rPr>
          <w:rFonts w:ascii="Arial" w:hAnsi="Arial" w:cs="Arial"/>
        </w:rPr>
        <w:t>.</w:t>
      </w:r>
    </w:p>
    <w:p w:rsidR="004840FA" w:rsidRPr="00DA5A23" w:rsidRDefault="00DA5A23" w:rsidP="00DA5A23">
      <w:pPr>
        <w:snapToGrid w:val="0"/>
        <w:spacing w:line="360" w:lineRule="auto"/>
        <w:ind w:left="480"/>
        <w:jc w:val="both"/>
        <w:rPr>
          <w:rFonts w:ascii="Times New Roman" w:eastAsia="標楷體" w:hAnsi="Times New Roman" w:cs="Times New Roman"/>
          <w:szCs w:val="24"/>
        </w:rPr>
      </w:pPr>
      <w:r w:rsidRPr="00DA5A23">
        <w:rPr>
          <w:rFonts w:ascii="Times New Roman" w:eastAsia="標楷體" w:hAnsi="Times New Roman" w:cs="Times New Roman"/>
          <w:szCs w:val="24"/>
        </w:rPr>
        <w:t>To attain graduation eligibility, undergraduate students must meet the graduation requirements specified in these procedures and the enforcement rules for Service-Learning, English proficiency, Information Technology proficiency, Chinese proficiency and Sports capability, as well as the professional competencies stated in these regulations.</w:t>
      </w:r>
    </w:p>
    <w:p w:rsidR="00052301" w:rsidRDefault="00EB76BD" w:rsidP="004840FA">
      <w:pPr>
        <w:numPr>
          <w:ilvl w:val="0"/>
          <w:numId w:val="1"/>
        </w:numPr>
        <w:snapToGrid w:val="0"/>
        <w:spacing w:line="360" w:lineRule="auto"/>
        <w:jc w:val="both"/>
        <w:rPr>
          <w:rFonts w:ascii="標楷體" w:eastAsia="標楷體" w:hAnsi="標楷體" w:cs="Times New Roman"/>
          <w:szCs w:val="24"/>
        </w:rPr>
      </w:pPr>
      <w:r w:rsidRPr="00BF5F15">
        <w:rPr>
          <w:rFonts w:ascii="標楷體" w:eastAsia="標楷體" w:hAnsi="標楷體" w:cs="Times New Roman"/>
          <w:szCs w:val="24"/>
        </w:rPr>
        <w:t>學生需於在學期間內通過基本能力檢定，其項目及檢定標準如下：</w:t>
      </w:r>
    </w:p>
    <w:p w:rsidR="00DA5A23" w:rsidRPr="00DA5A23" w:rsidRDefault="00DA5A23" w:rsidP="00DA5A23">
      <w:pPr>
        <w:snapToGrid w:val="0"/>
        <w:spacing w:line="360" w:lineRule="auto"/>
        <w:ind w:left="480"/>
        <w:jc w:val="both"/>
        <w:rPr>
          <w:rFonts w:ascii="Times New Roman" w:eastAsia="標楷體" w:hAnsi="Times New Roman" w:cs="Times New Roman"/>
          <w:szCs w:val="24"/>
        </w:rPr>
      </w:pPr>
      <w:r w:rsidRPr="00DA5A23">
        <w:rPr>
          <w:rFonts w:ascii="Times New Roman" w:eastAsia="標楷體" w:hAnsi="Times New Roman" w:cs="Times New Roman"/>
          <w:szCs w:val="24"/>
        </w:rPr>
        <w:t>Students are required to meet the professional competencies outlined below during their period of study.</w:t>
      </w:r>
    </w:p>
    <w:tbl>
      <w:tblPr>
        <w:tblStyle w:val="a3"/>
        <w:tblW w:w="0" w:type="auto"/>
        <w:jc w:val="center"/>
        <w:tblLook w:val="04A0" w:firstRow="1" w:lastRow="0" w:firstColumn="1" w:lastColumn="0" w:noHBand="0" w:noVBand="1"/>
      </w:tblPr>
      <w:tblGrid>
        <w:gridCol w:w="2067"/>
        <w:gridCol w:w="5642"/>
      </w:tblGrid>
      <w:tr w:rsidR="00BF5F15" w:rsidRPr="00BF5F15" w:rsidTr="00B07366">
        <w:trPr>
          <w:trHeight w:val="350"/>
          <w:jc w:val="center"/>
        </w:trPr>
        <w:tc>
          <w:tcPr>
            <w:tcW w:w="2067" w:type="dxa"/>
            <w:vAlign w:val="center"/>
          </w:tcPr>
          <w:p w:rsidR="00052301" w:rsidRDefault="00052301" w:rsidP="004840FA">
            <w:pPr>
              <w:pStyle w:val="Web"/>
              <w:spacing w:before="0" w:beforeAutospacing="0" w:after="0" w:afterAutospacing="0" w:line="0" w:lineRule="atLeast"/>
              <w:jc w:val="center"/>
              <w:rPr>
                <w:rFonts w:ascii="Arial" w:eastAsia="標楷體" w:hAnsi="Arial" w:cs="Arial"/>
                <w:kern w:val="24"/>
                <w:sz w:val="21"/>
                <w:szCs w:val="21"/>
              </w:rPr>
            </w:pPr>
            <w:r w:rsidRPr="00BF5F15">
              <w:rPr>
                <w:rFonts w:ascii="Times New Roman" w:eastAsia="標楷體" w:hAnsi="Times New Roman"/>
                <w:bCs/>
                <w:kern w:val="24"/>
                <w:sz w:val="20"/>
                <w:szCs w:val="20"/>
              </w:rPr>
              <w:t>基本能力</w:t>
            </w:r>
            <w:r w:rsidRPr="00BF5F15">
              <w:rPr>
                <w:rFonts w:ascii="Arial" w:eastAsia="標楷體" w:hAnsi="Arial" w:cs="Arial"/>
                <w:kern w:val="24"/>
                <w:sz w:val="21"/>
                <w:szCs w:val="21"/>
              </w:rPr>
              <w:t xml:space="preserve"> </w:t>
            </w:r>
          </w:p>
          <w:p w:rsidR="00DA5A23" w:rsidRPr="00DA5A23" w:rsidRDefault="00DA5A23" w:rsidP="004840FA">
            <w:pPr>
              <w:pStyle w:val="Web"/>
              <w:spacing w:before="0" w:beforeAutospacing="0" w:after="0" w:afterAutospacing="0" w:line="0" w:lineRule="atLeast"/>
              <w:jc w:val="center"/>
              <w:rPr>
                <w:rFonts w:ascii="Times New Roman" w:eastAsia="標楷體" w:hAnsi="Times New Roman"/>
                <w:sz w:val="20"/>
                <w:szCs w:val="20"/>
              </w:rPr>
            </w:pPr>
            <w:r w:rsidRPr="00DA5A23">
              <w:rPr>
                <w:rFonts w:ascii="Times New Roman" w:eastAsia="標楷體" w:hAnsi="Times New Roman"/>
                <w:sz w:val="20"/>
                <w:szCs w:val="20"/>
              </w:rPr>
              <w:t>Professional Competencies</w:t>
            </w:r>
          </w:p>
        </w:tc>
        <w:tc>
          <w:tcPr>
            <w:tcW w:w="5642" w:type="dxa"/>
            <w:vAlign w:val="center"/>
          </w:tcPr>
          <w:p w:rsidR="00052301" w:rsidRDefault="00052301" w:rsidP="001C3693">
            <w:pPr>
              <w:pStyle w:val="Web"/>
              <w:spacing w:before="0" w:beforeAutospacing="0" w:after="0" w:afterAutospacing="0" w:line="0" w:lineRule="atLeast"/>
              <w:jc w:val="center"/>
              <w:rPr>
                <w:rFonts w:ascii="Times New Roman" w:eastAsia="標楷體" w:hAnsi="Times New Roman"/>
                <w:sz w:val="20"/>
                <w:szCs w:val="20"/>
              </w:rPr>
            </w:pPr>
            <w:r w:rsidRPr="00BF5F15">
              <w:rPr>
                <w:rFonts w:ascii="Times New Roman" w:eastAsia="標楷體" w:hAnsi="Times New Roman"/>
                <w:sz w:val="20"/>
                <w:szCs w:val="20"/>
              </w:rPr>
              <w:t>檢定標準</w:t>
            </w:r>
          </w:p>
          <w:p w:rsidR="00DA5A23" w:rsidRPr="00BF5F15" w:rsidRDefault="00DA5A23" w:rsidP="001C3693">
            <w:pPr>
              <w:pStyle w:val="Web"/>
              <w:spacing w:before="0" w:beforeAutospacing="0" w:after="0" w:afterAutospacing="0" w:line="0" w:lineRule="atLeast"/>
              <w:jc w:val="center"/>
              <w:rPr>
                <w:rFonts w:ascii="Times New Roman" w:eastAsia="標楷體" w:hAnsi="Times New Roman" w:hint="eastAsia"/>
                <w:sz w:val="20"/>
                <w:szCs w:val="20"/>
              </w:rPr>
            </w:pPr>
            <w:r w:rsidRPr="00DA5A23">
              <w:rPr>
                <w:rFonts w:ascii="Times New Roman" w:eastAsia="標楷體" w:hAnsi="Times New Roman"/>
                <w:sz w:val="20"/>
                <w:szCs w:val="20"/>
              </w:rPr>
              <w:t>Requirements</w:t>
            </w:r>
          </w:p>
        </w:tc>
      </w:tr>
      <w:tr w:rsidR="00BF5F15" w:rsidRPr="00BF5F15" w:rsidTr="00B07366">
        <w:trPr>
          <w:trHeight w:val="221"/>
          <w:jc w:val="center"/>
        </w:trPr>
        <w:tc>
          <w:tcPr>
            <w:tcW w:w="2067" w:type="dxa"/>
            <w:vAlign w:val="center"/>
          </w:tcPr>
          <w:p w:rsidR="00052301" w:rsidRDefault="00EB76BD" w:rsidP="004840FA">
            <w:pPr>
              <w:snapToGrid w:val="0"/>
              <w:spacing w:line="360" w:lineRule="auto"/>
              <w:jc w:val="center"/>
              <w:rPr>
                <w:rFonts w:ascii="標楷體" w:eastAsia="標楷體" w:hAnsi="標楷體" w:cs="Times New Roman"/>
                <w:szCs w:val="24"/>
              </w:rPr>
            </w:pPr>
            <w:r w:rsidRPr="00BF5F15">
              <w:rPr>
                <w:rFonts w:ascii="標楷體" w:eastAsia="標楷體" w:hAnsi="標楷體" w:cs="Times New Roman"/>
                <w:szCs w:val="24"/>
              </w:rPr>
              <w:lastRenderedPageBreak/>
              <w:t>應用實作能力</w:t>
            </w:r>
          </w:p>
          <w:p w:rsidR="00DA5A23" w:rsidRPr="00DA5A23" w:rsidRDefault="00DA5A23" w:rsidP="00DA5A23">
            <w:pPr>
              <w:snapToGrid w:val="0"/>
              <w:jc w:val="center"/>
              <w:rPr>
                <w:rFonts w:ascii="Times New Roman" w:eastAsia="標楷體" w:hAnsi="Times New Roman" w:cs="Times New Roman"/>
                <w:szCs w:val="24"/>
              </w:rPr>
            </w:pPr>
            <w:r w:rsidRPr="00DA5A23">
              <w:rPr>
                <w:rFonts w:ascii="Times New Roman" w:eastAsia="標楷體" w:hAnsi="Times New Roman" w:cs="Times New Roman"/>
                <w:sz w:val="20"/>
                <w:szCs w:val="24"/>
              </w:rPr>
              <w:t>Application Competence</w:t>
            </w:r>
          </w:p>
        </w:tc>
        <w:tc>
          <w:tcPr>
            <w:tcW w:w="5642" w:type="dxa"/>
            <w:vAlign w:val="center"/>
          </w:tcPr>
          <w:p w:rsidR="00CC5641" w:rsidRDefault="00EB76BD" w:rsidP="004840FA">
            <w:pPr>
              <w:snapToGrid w:val="0"/>
              <w:spacing w:line="360" w:lineRule="auto"/>
              <w:jc w:val="center"/>
              <w:rPr>
                <w:rFonts w:ascii="標楷體" w:eastAsia="標楷體" w:hAnsi="標楷體" w:cs="Times New Roman"/>
                <w:szCs w:val="24"/>
              </w:rPr>
            </w:pPr>
            <w:r w:rsidRPr="00BF5F15">
              <w:rPr>
                <w:rFonts w:ascii="標楷體" w:eastAsia="標楷體" w:hAnsi="標楷體" w:cs="Times New Roman"/>
                <w:szCs w:val="24"/>
              </w:rPr>
              <w:t>需於</w:t>
            </w:r>
            <w:r w:rsidR="00D65DBD">
              <w:rPr>
                <w:rFonts w:ascii="標楷體" w:eastAsia="標楷體" w:hAnsi="標楷體" w:cs="Times New Roman" w:hint="eastAsia"/>
                <w:szCs w:val="24"/>
              </w:rPr>
              <w:t>國</w:t>
            </w:r>
            <w:r w:rsidRPr="00BF5F15">
              <w:rPr>
                <w:rFonts w:ascii="標楷體" w:eastAsia="標楷體" w:hAnsi="標楷體" w:cs="Times New Roman"/>
                <w:szCs w:val="24"/>
              </w:rPr>
              <w:t>內/外完成實習500小時</w:t>
            </w:r>
          </w:p>
          <w:p w:rsidR="00DA5A23" w:rsidRPr="00DA5A23" w:rsidRDefault="00DA5A23" w:rsidP="004840FA">
            <w:pPr>
              <w:snapToGrid w:val="0"/>
              <w:spacing w:line="360" w:lineRule="auto"/>
              <w:jc w:val="center"/>
              <w:rPr>
                <w:rFonts w:ascii="Times New Roman" w:eastAsia="標楷體" w:hAnsi="Times New Roman" w:cs="Times New Roman"/>
                <w:sz w:val="20"/>
                <w:szCs w:val="20"/>
              </w:rPr>
            </w:pPr>
            <w:r w:rsidRPr="00DA5A23">
              <w:rPr>
                <w:rFonts w:ascii="Times New Roman" w:eastAsia="標楷體" w:hAnsi="Times New Roman" w:cs="Times New Roman"/>
                <w:sz w:val="20"/>
                <w:szCs w:val="20"/>
              </w:rPr>
              <w:t>Complete 500 hours domestic / overseas internship</w:t>
            </w:r>
          </w:p>
        </w:tc>
      </w:tr>
      <w:tr w:rsidR="00BF5F15" w:rsidRPr="00BF5F15" w:rsidTr="00B07366">
        <w:trPr>
          <w:trHeight w:val="318"/>
          <w:jc w:val="center"/>
        </w:trPr>
        <w:tc>
          <w:tcPr>
            <w:tcW w:w="2067" w:type="dxa"/>
            <w:vAlign w:val="center"/>
          </w:tcPr>
          <w:p w:rsidR="00CC5641" w:rsidRDefault="00EB76BD" w:rsidP="004840FA">
            <w:pPr>
              <w:snapToGrid w:val="0"/>
              <w:spacing w:line="360" w:lineRule="auto"/>
              <w:jc w:val="center"/>
              <w:rPr>
                <w:rFonts w:ascii="標楷體" w:eastAsia="標楷體" w:hAnsi="標楷體" w:cs="Times New Roman"/>
                <w:szCs w:val="24"/>
              </w:rPr>
            </w:pPr>
            <w:r w:rsidRPr="00BF5F15">
              <w:rPr>
                <w:rFonts w:ascii="標楷體" w:eastAsia="標楷體" w:hAnsi="標楷體" w:cs="Times New Roman"/>
                <w:szCs w:val="24"/>
              </w:rPr>
              <w:t>個案分析能力</w:t>
            </w:r>
          </w:p>
          <w:p w:rsidR="00DA5A23" w:rsidRPr="00DA5A23" w:rsidRDefault="00DA5A23" w:rsidP="00DA5A23">
            <w:pPr>
              <w:snapToGrid w:val="0"/>
              <w:jc w:val="center"/>
              <w:rPr>
                <w:rFonts w:ascii="Times New Roman" w:eastAsia="標楷體" w:hAnsi="Times New Roman" w:cs="Times New Roman"/>
                <w:szCs w:val="24"/>
              </w:rPr>
            </w:pPr>
            <w:r w:rsidRPr="00DA5A23">
              <w:rPr>
                <w:rFonts w:ascii="Times New Roman" w:eastAsia="標楷體" w:hAnsi="Times New Roman" w:cs="Times New Roman"/>
                <w:sz w:val="20"/>
                <w:szCs w:val="24"/>
              </w:rPr>
              <w:t>Case Analysis Competence</w:t>
            </w:r>
          </w:p>
        </w:tc>
        <w:tc>
          <w:tcPr>
            <w:tcW w:w="5642" w:type="dxa"/>
            <w:vAlign w:val="center"/>
          </w:tcPr>
          <w:p w:rsidR="00CC5641" w:rsidRDefault="00EB76BD" w:rsidP="004840FA">
            <w:pPr>
              <w:snapToGrid w:val="0"/>
              <w:spacing w:line="360" w:lineRule="auto"/>
              <w:jc w:val="center"/>
              <w:rPr>
                <w:rFonts w:ascii="標楷體" w:eastAsia="標楷體" w:hAnsi="標楷體" w:cs="Times New Roman"/>
                <w:szCs w:val="24"/>
              </w:rPr>
            </w:pPr>
            <w:r w:rsidRPr="00BF5F15">
              <w:rPr>
                <w:rFonts w:ascii="標楷體" w:eastAsia="標楷體" w:hAnsi="標楷體" w:cs="Times New Roman"/>
                <w:szCs w:val="24"/>
              </w:rPr>
              <w:t>完成畢業</w:t>
            </w:r>
            <w:r w:rsidR="00D65DBD">
              <w:rPr>
                <w:rFonts w:ascii="標楷體" w:eastAsia="標楷體" w:hAnsi="標楷體" w:cs="Times New Roman" w:hint="eastAsia"/>
                <w:szCs w:val="24"/>
              </w:rPr>
              <w:t>作品集</w:t>
            </w:r>
          </w:p>
          <w:p w:rsidR="00DA5A23" w:rsidRPr="00DA5A23" w:rsidRDefault="00DA5A23" w:rsidP="004840FA">
            <w:pPr>
              <w:snapToGrid w:val="0"/>
              <w:spacing w:line="360" w:lineRule="auto"/>
              <w:jc w:val="center"/>
              <w:rPr>
                <w:rFonts w:ascii="Times New Roman" w:eastAsia="標楷體" w:hAnsi="Times New Roman" w:cs="Times New Roman"/>
                <w:szCs w:val="24"/>
              </w:rPr>
            </w:pPr>
            <w:r w:rsidRPr="00DA5A23">
              <w:rPr>
                <w:rFonts w:ascii="Times New Roman" w:eastAsia="標楷體" w:hAnsi="Times New Roman" w:cs="Times New Roman"/>
                <w:sz w:val="20"/>
                <w:szCs w:val="24"/>
              </w:rPr>
              <w:t>Complete gradua</w:t>
            </w:r>
            <w:r>
              <w:rPr>
                <w:rFonts w:ascii="Times New Roman" w:eastAsia="標楷體" w:hAnsi="Times New Roman" w:cs="Times New Roman"/>
                <w:sz w:val="20"/>
                <w:szCs w:val="24"/>
              </w:rPr>
              <w:t>tion</w:t>
            </w:r>
            <w:r>
              <w:rPr>
                <w:rFonts w:ascii="Times New Roman" w:eastAsia="標楷體" w:hAnsi="Times New Roman" w:cs="Times New Roman" w:hint="eastAsia"/>
                <w:sz w:val="20"/>
                <w:szCs w:val="24"/>
              </w:rPr>
              <w:t xml:space="preserve"> </w:t>
            </w:r>
            <w:r>
              <w:rPr>
                <w:rFonts w:ascii="Times New Roman" w:eastAsia="標楷體" w:hAnsi="Times New Roman" w:cs="Times New Roman"/>
                <w:sz w:val="20"/>
                <w:szCs w:val="24"/>
              </w:rPr>
              <w:t>portfolio.</w:t>
            </w:r>
          </w:p>
        </w:tc>
      </w:tr>
    </w:tbl>
    <w:p w:rsidR="004840FA" w:rsidRDefault="004840FA" w:rsidP="004840FA">
      <w:pPr>
        <w:snapToGrid w:val="0"/>
        <w:spacing w:line="360" w:lineRule="auto"/>
        <w:ind w:left="480"/>
        <w:jc w:val="both"/>
        <w:rPr>
          <w:rFonts w:ascii="標楷體" w:eastAsia="標楷體" w:hAnsi="標楷體" w:cs="Times New Roman"/>
          <w:szCs w:val="24"/>
        </w:rPr>
      </w:pPr>
    </w:p>
    <w:p w:rsidR="001563E3" w:rsidRDefault="00EB76BD" w:rsidP="004840FA">
      <w:pPr>
        <w:numPr>
          <w:ilvl w:val="0"/>
          <w:numId w:val="1"/>
        </w:numPr>
        <w:snapToGrid w:val="0"/>
        <w:spacing w:line="360" w:lineRule="auto"/>
        <w:jc w:val="both"/>
        <w:rPr>
          <w:rFonts w:ascii="標楷體" w:eastAsia="標楷體" w:hAnsi="標楷體" w:cs="Times New Roman"/>
          <w:szCs w:val="24"/>
        </w:rPr>
      </w:pPr>
      <w:r w:rsidRPr="00BF5F15">
        <w:rPr>
          <w:rFonts w:ascii="標楷體" w:eastAsia="標楷體" w:hAnsi="標楷體" w:cs="Times New Roman"/>
          <w:szCs w:val="24"/>
        </w:rPr>
        <w:t>學生於畢業前未達前條所定基本能力檢定標準者，應加修本學程指定學分之補救課程，於該課程達及格標準後，始得畢業。 (或其他補救措施)</w:t>
      </w:r>
    </w:p>
    <w:p w:rsidR="004840FA" w:rsidRPr="00DA5A23" w:rsidRDefault="00DA5A23" w:rsidP="004840FA">
      <w:pPr>
        <w:snapToGrid w:val="0"/>
        <w:spacing w:line="360" w:lineRule="auto"/>
        <w:ind w:left="480"/>
        <w:jc w:val="both"/>
        <w:rPr>
          <w:rFonts w:ascii="Times New Roman" w:eastAsia="標楷體" w:hAnsi="Times New Roman" w:cs="Times New Roman"/>
          <w:szCs w:val="24"/>
        </w:rPr>
      </w:pPr>
      <w:r w:rsidRPr="00DA5A23">
        <w:rPr>
          <w:rFonts w:ascii="Times New Roman" w:eastAsia="標楷體" w:hAnsi="Times New Roman" w:cs="Times New Roman"/>
          <w:szCs w:val="24"/>
        </w:rPr>
        <w:t>Prior to graduation, students who fail to meet the above requirements must enroll in and meet the standards of the specified remedial courses set by the Department to attain graduation eligibility (or complete other remedial measures).</w:t>
      </w:r>
    </w:p>
    <w:p w:rsidR="00EB76BD" w:rsidRDefault="00EB76BD" w:rsidP="00367836">
      <w:pPr>
        <w:numPr>
          <w:ilvl w:val="0"/>
          <w:numId w:val="1"/>
        </w:numPr>
        <w:snapToGrid w:val="0"/>
        <w:spacing w:line="360" w:lineRule="auto"/>
        <w:jc w:val="both"/>
        <w:rPr>
          <w:rFonts w:ascii="標楷體" w:eastAsia="標楷體" w:hAnsi="標楷體" w:cs="Times New Roman"/>
          <w:szCs w:val="24"/>
        </w:rPr>
      </w:pPr>
      <w:r w:rsidRPr="00BF5F15">
        <w:rPr>
          <w:rFonts w:ascii="標楷體" w:eastAsia="標楷體" w:hAnsi="標楷體" w:cs="Times New Roman"/>
          <w:szCs w:val="24"/>
        </w:rPr>
        <w:t>通過基本能力檢定標準之學生，應將成績或其他相關證明文件送交至本學程，經審核通過後，成績以「檢定通過」登錄。</w:t>
      </w:r>
    </w:p>
    <w:p w:rsidR="004840FA" w:rsidRPr="00DA5A23" w:rsidRDefault="00DA5A23" w:rsidP="00DA5A23">
      <w:pPr>
        <w:snapToGrid w:val="0"/>
        <w:spacing w:line="360" w:lineRule="auto"/>
        <w:ind w:left="480"/>
        <w:jc w:val="both"/>
        <w:rPr>
          <w:rFonts w:ascii="Times New Roman" w:eastAsia="標楷體" w:hAnsi="Times New Roman" w:cs="Times New Roman"/>
          <w:szCs w:val="24"/>
        </w:rPr>
      </w:pPr>
      <w:r w:rsidRPr="00DA5A23">
        <w:rPr>
          <w:rFonts w:ascii="Times New Roman" w:eastAsia="標楷體" w:hAnsi="Times New Roman" w:cs="Times New Roman"/>
          <w:szCs w:val="24"/>
        </w:rPr>
        <w:t>Students who meet the graduation requirements for these fundamental professional competencies should submit relevant certificates or score reports to the Department. After completion of these procedures, the students will be verified as meeting the graduation requirements.</w:t>
      </w:r>
    </w:p>
    <w:p w:rsidR="00EB76BD" w:rsidRPr="00BF5F15" w:rsidRDefault="00EB76BD" w:rsidP="001563E3">
      <w:pPr>
        <w:pStyle w:val="a8"/>
        <w:numPr>
          <w:ilvl w:val="0"/>
          <w:numId w:val="1"/>
        </w:numPr>
        <w:snapToGrid w:val="0"/>
        <w:spacing w:line="360" w:lineRule="auto"/>
        <w:ind w:leftChars="0"/>
        <w:jc w:val="both"/>
        <w:rPr>
          <w:rFonts w:ascii="標楷體" w:eastAsia="標楷體" w:hAnsi="標楷體" w:cs="Times New Roman"/>
          <w:szCs w:val="24"/>
        </w:rPr>
      </w:pPr>
      <w:r w:rsidRPr="00BF5F15">
        <w:rPr>
          <w:rFonts w:ascii="標楷體" w:eastAsia="標楷體" w:hAnsi="標楷體" w:cs="Times New Roman"/>
          <w:szCs w:val="24"/>
        </w:rPr>
        <w:t>本細則經系務、院務及教務會議通過後，報請校長核定後實施，修正時亦同。</w:t>
      </w:r>
    </w:p>
    <w:p w:rsidR="001563E3" w:rsidRPr="00DA5A23" w:rsidRDefault="00DA5A23" w:rsidP="001563E3">
      <w:pPr>
        <w:pStyle w:val="a8"/>
        <w:snapToGrid w:val="0"/>
        <w:spacing w:line="360" w:lineRule="auto"/>
        <w:ind w:leftChars="0"/>
        <w:rPr>
          <w:rFonts w:ascii="Times New Roman" w:hAnsi="Times New Roman" w:cs="Times New Roman"/>
          <w:szCs w:val="24"/>
        </w:rPr>
      </w:pPr>
      <w:r w:rsidRPr="00DA5A23">
        <w:rPr>
          <w:rFonts w:ascii="Times New Roman" w:hAnsi="Times New Roman" w:cs="Times New Roman"/>
          <w:szCs w:val="24"/>
        </w:rPr>
        <w:t>Upon being passed at the Department/School/University Academic Affairs Committee Meetings and approved by the President, these enforcement rules were implemented. Any revision must follow the same procedure.</w:t>
      </w:r>
    </w:p>
    <w:p w:rsidR="00EB76BD" w:rsidRPr="00BF5F15" w:rsidRDefault="00EB76BD" w:rsidP="00367836">
      <w:pPr>
        <w:spacing w:line="360" w:lineRule="auto"/>
        <w:rPr>
          <w:rFonts w:ascii="標楷體" w:eastAsia="標楷體" w:hAnsi="標楷體"/>
          <w:szCs w:val="24"/>
        </w:rPr>
      </w:pPr>
    </w:p>
    <w:sectPr w:rsidR="00EB76BD" w:rsidRPr="00BF5F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45" w:rsidRDefault="00D12645" w:rsidP="001A6875">
      <w:r>
        <w:separator/>
      </w:r>
    </w:p>
  </w:endnote>
  <w:endnote w:type="continuationSeparator" w:id="0">
    <w:p w:rsidR="00D12645" w:rsidRDefault="00D12645" w:rsidP="001A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YaHei"/>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45" w:rsidRDefault="00D12645" w:rsidP="001A6875">
      <w:r>
        <w:separator/>
      </w:r>
    </w:p>
  </w:footnote>
  <w:footnote w:type="continuationSeparator" w:id="0">
    <w:p w:rsidR="00D12645" w:rsidRDefault="00D12645" w:rsidP="001A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62318"/>
    <w:multiLevelType w:val="hybridMultilevel"/>
    <w:tmpl w:val="3F3C7570"/>
    <w:lvl w:ilvl="0" w:tplc="EECED7BC">
      <w:start w:val="1"/>
      <w:numFmt w:val="taiwaneseCountingThousand"/>
      <w:lvlText w:val="%1、"/>
      <w:lvlJc w:val="left"/>
      <w:pPr>
        <w:ind w:left="480" w:hanging="480"/>
      </w:pPr>
      <w:rPr>
        <w:rFonts w:hint="eastAsia"/>
        <w:lang w:val="en-US"/>
      </w:rPr>
    </w:lvl>
    <w:lvl w:ilvl="1" w:tplc="ED7E8970">
      <w:start w:val="1"/>
      <w:numFmt w:val="taiwaneseCountingThousand"/>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BD"/>
    <w:rsid w:val="00052301"/>
    <w:rsid w:val="000C206D"/>
    <w:rsid w:val="001563E3"/>
    <w:rsid w:val="00166C73"/>
    <w:rsid w:val="001A6875"/>
    <w:rsid w:val="001B4256"/>
    <w:rsid w:val="001C3693"/>
    <w:rsid w:val="00216948"/>
    <w:rsid w:val="002368A9"/>
    <w:rsid w:val="0027667C"/>
    <w:rsid w:val="00311035"/>
    <w:rsid w:val="00367836"/>
    <w:rsid w:val="00482757"/>
    <w:rsid w:val="004840FA"/>
    <w:rsid w:val="004F44C5"/>
    <w:rsid w:val="00550B8D"/>
    <w:rsid w:val="00551E5D"/>
    <w:rsid w:val="00562F19"/>
    <w:rsid w:val="00564BAE"/>
    <w:rsid w:val="00605C2C"/>
    <w:rsid w:val="00767553"/>
    <w:rsid w:val="007B04D2"/>
    <w:rsid w:val="007E60F9"/>
    <w:rsid w:val="008260A0"/>
    <w:rsid w:val="00874F59"/>
    <w:rsid w:val="0089134C"/>
    <w:rsid w:val="00936A0F"/>
    <w:rsid w:val="00982383"/>
    <w:rsid w:val="009C5695"/>
    <w:rsid w:val="00B64818"/>
    <w:rsid w:val="00BF5F15"/>
    <w:rsid w:val="00CC5641"/>
    <w:rsid w:val="00D12645"/>
    <w:rsid w:val="00D65DBD"/>
    <w:rsid w:val="00DA5A23"/>
    <w:rsid w:val="00DB3D92"/>
    <w:rsid w:val="00DE36A0"/>
    <w:rsid w:val="00DF5A93"/>
    <w:rsid w:val="00EB76BD"/>
    <w:rsid w:val="00EC5F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A84DC-44E9-443E-AFFF-09440E3A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D9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6875"/>
    <w:pPr>
      <w:tabs>
        <w:tab w:val="center" w:pos="4153"/>
        <w:tab w:val="right" w:pos="8306"/>
      </w:tabs>
      <w:snapToGrid w:val="0"/>
    </w:pPr>
    <w:rPr>
      <w:sz w:val="20"/>
      <w:szCs w:val="20"/>
    </w:rPr>
  </w:style>
  <w:style w:type="character" w:customStyle="1" w:styleId="a5">
    <w:name w:val="頁首 字元"/>
    <w:basedOn w:val="a0"/>
    <w:link w:val="a4"/>
    <w:uiPriority w:val="99"/>
    <w:rsid w:val="001A6875"/>
    <w:rPr>
      <w:sz w:val="20"/>
      <w:szCs w:val="20"/>
    </w:rPr>
  </w:style>
  <w:style w:type="paragraph" w:styleId="a6">
    <w:name w:val="footer"/>
    <w:basedOn w:val="a"/>
    <w:link w:val="a7"/>
    <w:uiPriority w:val="99"/>
    <w:unhideWhenUsed/>
    <w:rsid w:val="001A6875"/>
    <w:pPr>
      <w:tabs>
        <w:tab w:val="center" w:pos="4153"/>
        <w:tab w:val="right" w:pos="8306"/>
      </w:tabs>
      <w:snapToGrid w:val="0"/>
    </w:pPr>
    <w:rPr>
      <w:sz w:val="20"/>
      <w:szCs w:val="20"/>
    </w:rPr>
  </w:style>
  <w:style w:type="character" w:customStyle="1" w:styleId="a7">
    <w:name w:val="頁尾 字元"/>
    <w:basedOn w:val="a0"/>
    <w:link w:val="a6"/>
    <w:uiPriority w:val="99"/>
    <w:rsid w:val="001A6875"/>
    <w:rPr>
      <w:sz w:val="20"/>
      <w:szCs w:val="20"/>
    </w:rPr>
  </w:style>
  <w:style w:type="paragraph" w:styleId="Web">
    <w:name w:val="Normal (Web)"/>
    <w:basedOn w:val="a"/>
    <w:uiPriority w:val="99"/>
    <w:rsid w:val="00052301"/>
    <w:pPr>
      <w:widowControl/>
      <w:spacing w:before="100" w:beforeAutospacing="1" w:after="100" w:afterAutospacing="1"/>
    </w:pPr>
    <w:rPr>
      <w:rFonts w:ascii="新細明體" w:eastAsia="新細明體" w:hAnsi="新細明體" w:cs="Times New Roman"/>
      <w:kern w:val="0"/>
      <w:szCs w:val="24"/>
    </w:rPr>
  </w:style>
  <w:style w:type="paragraph" w:styleId="a8">
    <w:name w:val="List Paragraph"/>
    <w:basedOn w:val="a"/>
    <w:uiPriority w:val="34"/>
    <w:qFormat/>
    <w:rsid w:val="001563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2020-02-21T05:38:00Z</dcterms:created>
  <dcterms:modified xsi:type="dcterms:W3CDTF">2020-02-21T05:38:00Z</dcterms:modified>
</cp:coreProperties>
</file>